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rPr>
          <w:rFonts w:hint="eastAsia" w:ascii="黑体" w:eastAsia="黑体"/>
          <w:sz w:val="32"/>
          <w:szCs w:val="32"/>
        </w:rPr>
      </w:pPr>
      <w:r>
        <w:rPr>
          <w:rFonts w:hint="eastAsia" w:ascii="黑体" w:eastAsia="黑体"/>
          <w:sz w:val="32"/>
          <w:szCs w:val="32"/>
        </w:rPr>
        <w:t>附件5</w:t>
      </w:r>
    </w:p>
    <w:p>
      <w:pPr>
        <w:jc w:val="center"/>
        <w:rPr>
          <w:rFonts w:hint="eastAsia" w:ascii="方正小标宋简体" w:eastAsia="方正小标宋简体"/>
          <w:sz w:val="36"/>
          <w:szCs w:val="36"/>
        </w:rPr>
      </w:pPr>
      <w:r>
        <w:rPr>
          <w:rFonts w:hint="eastAsia" w:ascii="方正小标宋简体" w:eastAsia="方正小标宋简体"/>
          <w:sz w:val="36"/>
          <w:szCs w:val="36"/>
        </w:rPr>
        <w:t>西安工程大学</w:t>
      </w:r>
    </w:p>
    <w:p>
      <w:pPr>
        <w:spacing w:after="312" w:afterLines="100"/>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《专业学位硕士研究生培养方案》编制格式</w:t>
      </w:r>
      <w:bookmarkEnd w:id="0"/>
    </w:p>
    <w:p>
      <w:pPr>
        <w:spacing w:line="540" w:lineRule="exact"/>
        <w:jc w:val="center"/>
        <w:rPr>
          <w:rFonts w:hint="eastAsia" w:eastAsia="黑体"/>
          <w:sz w:val="36"/>
          <w:szCs w:val="36"/>
        </w:rPr>
      </w:pPr>
      <w:r>
        <w:rPr>
          <w:rFonts w:hint="eastAsia" w:eastAsia="黑体"/>
          <w:sz w:val="36"/>
          <w:szCs w:val="36"/>
        </w:rPr>
        <w:t>西安工程大学</w:t>
      </w:r>
    </w:p>
    <w:p>
      <w:pPr>
        <w:spacing w:line="540" w:lineRule="exact"/>
        <w:jc w:val="center"/>
        <w:rPr>
          <w:rFonts w:hint="eastAsia" w:eastAsia="黑体"/>
          <w:sz w:val="36"/>
          <w:szCs w:val="36"/>
        </w:rPr>
      </w:pPr>
      <w:r>
        <w:rPr>
          <w:rFonts w:hint="eastAsia" w:ascii="黑体" w:eastAsia="黑体"/>
          <w:sz w:val="36"/>
          <w:szCs w:val="36"/>
        </w:rPr>
        <w:t>××</w:t>
      </w:r>
      <w:r>
        <w:rPr>
          <w:rFonts w:hint="eastAsia" w:eastAsia="黑体"/>
          <w:sz w:val="36"/>
          <w:szCs w:val="36"/>
        </w:rPr>
        <w:t>硕士</w:t>
      </w:r>
      <w:r>
        <w:rPr>
          <w:rFonts w:hint="eastAsia" w:ascii="黑体" w:eastAsia="黑体"/>
          <w:sz w:val="36"/>
          <w:szCs w:val="36"/>
        </w:rPr>
        <w:t>专业学位</w:t>
      </w:r>
      <w:r>
        <w:rPr>
          <w:rFonts w:hint="eastAsia" w:eastAsia="黑体"/>
          <w:sz w:val="36"/>
          <w:szCs w:val="36"/>
        </w:rPr>
        <w:t>研究生培养方案</w:t>
      </w:r>
      <w:r>
        <w:rPr>
          <w:rFonts w:eastAsia="黑体"/>
          <w:sz w:val="36"/>
          <w:szCs w:val="36"/>
        </w:rPr>
        <w:t>（小二号</w:t>
      </w:r>
      <w:r>
        <w:rPr>
          <w:rFonts w:hint="eastAsia" w:eastAsia="黑体"/>
          <w:sz w:val="36"/>
          <w:szCs w:val="36"/>
        </w:rPr>
        <w:t>，</w:t>
      </w:r>
      <w:r>
        <w:rPr>
          <w:rFonts w:eastAsia="黑体"/>
          <w:sz w:val="36"/>
          <w:szCs w:val="36"/>
        </w:rPr>
        <w:t>黑体</w:t>
      </w:r>
      <w:r>
        <w:rPr>
          <w:rFonts w:hint="eastAsia" w:eastAsia="黑体"/>
          <w:sz w:val="36"/>
          <w:szCs w:val="36"/>
        </w:rPr>
        <w:t>，居中</w:t>
      </w:r>
      <w:r>
        <w:rPr>
          <w:rFonts w:eastAsia="黑体"/>
          <w:sz w:val="36"/>
          <w:szCs w:val="36"/>
        </w:rPr>
        <w:t>）</w:t>
      </w:r>
    </w:p>
    <w:p>
      <w:pPr>
        <w:spacing w:line="540" w:lineRule="exact"/>
        <w:jc w:val="center"/>
        <w:rPr>
          <w:rFonts w:eastAsia="黑体"/>
          <w:sz w:val="28"/>
          <w:szCs w:val="28"/>
        </w:rPr>
      </w:pPr>
      <w:r>
        <w:rPr>
          <w:rFonts w:hint="eastAsia" w:eastAsia="黑体"/>
          <w:sz w:val="28"/>
          <w:szCs w:val="28"/>
        </w:rPr>
        <w:t>领域</w:t>
      </w:r>
      <w:r>
        <w:rPr>
          <w:rFonts w:eastAsia="黑体"/>
          <w:sz w:val="28"/>
          <w:szCs w:val="28"/>
        </w:rPr>
        <w:t>名称</w:t>
      </w:r>
      <w:r>
        <w:rPr>
          <w:rFonts w:hint="eastAsia" w:eastAsia="黑体"/>
          <w:sz w:val="28"/>
          <w:szCs w:val="28"/>
        </w:rPr>
        <w:t>：</w:t>
      </w:r>
      <w:r>
        <w:rPr>
          <w:rFonts w:eastAsia="黑体"/>
          <w:sz w:val="28"/>
          <w:szCs w:val="28"/>
        </w:rPr>
        <w:t>（四号</w:t>
      </w:r>
      <w:r>
        <w:rPr>
          <w:rFonts w:hint="eastAsia" w:eastAsia="黑体"/>
          <w:sz w:val="28"/>
          <w:szCs w:val="28"/>
        </w:rPr>
        <w:t>，</w:t>
      </w:r>
      <w:r>
        <w:rPr>
          <w:rFonts w:hint="eastAsia" w:ascii="黑体" w:hAnsi="黑体" w:eastAsia="黑体" w:cs="黑体"/>
          <w:sz w:val="28"/>
          <w:szCs w:val="28"/>
        </w:rPr>
        <w:t>黑体，居中</w:t>
      </w:r>
      <w:r>
        <w:rPr>
          <w:rFonts w:eastAsia="黑体"/>
          <w:sz w:val="28"/>
          <w:szCs w:val="28"/>
        </w:rPr>
        <w:t>）</w:t>
      </w:r>
    </w:p>
    <w:p>
      <w:pPr>
        <w:spacing w:line="540" w:lineRule="exact"/>
        <w:jc w:val="center"/>
        <w:rPr>
          <w:rFonts w:eastAsia="黑体"/>
          <w:sz w:val="28"/>
          <w:szCs w:val="28"/>
        </w:rPr>
      </w:pPr>
      <w:r>
        <w:rPr>
          <w:rFonts w:hint="eastAsia" w:eastAsia="黑体"/>
          <w:sz w:val="28"/>
          <w:szCs w:val="28"/>
        </w:rPr>
        <w:t>领域</w:t>
      </w:r>
      <w:r>
        <w:rPr>
          <w:rFonts w:eastAsia="黑体"/>
          <w:sz w:val="28"/>
          <w:szCs w:val="28"/>
        </w:rPr>
        <w:t>代码</w:t>
      </w:r>
      <w:r>
        <w:rPr>
          <w:rFonts w:hint="eastAsia" w:eastAsia="黑体"/>
          <w:sz w:val="28"/>
          <w:szCs w:val="28"/>
        </w:rPr>
        <w:t>：</w:t>
      </w:r>
      <w:r>
        <w:rPr>
          <w:rFonts w:eastAsia="黑体"/>
          <w:sz w:val="28"/>
          <w:szCs w:val="28"/>
        </w:rPr>
        <w:t>（四号，</w:t>
      </w:r>
      <w:r>
        <w:rPr>
          <w:rFonts w:eastAsia="楷体_GB2312"/>
          <w:sz w:val="28"/>
          <w:szCs w:val="28"/>
        </w:rPr>
        <w:t xml:space="preserve">Times New Roman </w:t>
      </w:r>
      <w:r>
        <w:rPr>
          <w:rFonts w:hint="eastAsia" w:ascii="黑体" w:hAnsi="黑体" w:eastAsia="黑体" w:cs="黑体"/>
          <w:sz w:val="28"/>
          <w:szCs w:val="28"/>
        </w:rPr>
        <w:t>格式</w:t>
      </w:r>
      <w:r>
        <w:rPr>
          <w:rFonts w:hint="eastAsia" w:eastAsia="楷体_GB2312"/>
          <w:sz w:val="28"/>
          <w:szCs w:val="28"/>
        </w:rPr>
        <w:t>，</w:t>
      </w:r>
      <w:r>
        <w:rPr>
          <w:rFonts w:hint="eastAsia" w:ascii="黑体" w:hAnsi="黑体" w:eastAsia="黑体" w:cs="黑体"/>
          <w:sz w:val="28"/>
          <w:szCs w:val="28"/>
        </w:rPr>
        <w:t>居中</w:t>
      </w:r>
      <w:r>
        <w:rPr>
          <w:rFonts w:eastAsia="黑体"/>
          <w:sz w:val="28"/>
          <w:szCs w:val="28"/>
        </w:rPr>
        <w:t>）</w:t>
      </w:r>
    </w:p>
    <w:p>
      <w:pPr>
        <w:spacing w:before="624" w:beforeLines="200" w:line="360" w:lineRule="auto"/>
        <w:ind w:firstLine="482" w:firstLineChars="200"/>
        <w:rPr>
          <w:rFonts w:hint="eastAsia" w:ascii="黑体" w:hAnsi="黑体" w:eastAsia="黑体" w:cs="黑体"/>
          <w:bCs/>
          <w:sz w:val="24"/>
        </w:rPr>
      </w:pPr>
      <w:r>
        <w:rPr>
          <w:rFonts w:hint="eastAsia" w:ascii="黑体" w:hAnsi="黑体" w:eastAsia="黑体" w:cs="黑体"/>
          <w:b/>
          <w:sz w:val="24"/>
        </w:rPr>
        <w:t>一、</w:t>
      </w:r>
      <w:r>
        <w:rPr>
          <w:rFonts w:hint="eastAsia" w:ascii="黑体" w:hAnsi="黑体" w:eastAsia="黑体" w:cs="黑体"/>
          <w:bCs/>
          <w:sz w:val="24"/>
        </w:rPr>
        <w:t>培养目标（一级标题，小四号，黑体）</w:t>
      </w:r>
    </w:p>
    <w:p>
      <w:pPr>
        <w:spacing w:line="360" w:lineRule="auto"/>
        <w:ind w:firstLine="422" w:firstLineChars="200"/>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（正文，五号，宋体，行间距1.5倍行距）</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二．领域简介及研究方向</w:t>
      </w:r>
    </w:p>
    <w:p>
      <w:pPr>
        <w:spacing w:line="360" w:lineRule="auto"/>
        <w:ind w:firstLine="480" w:firstLineChars="200"/>
        <w:rPr>
          <w:rFonts w:hint="eastAsia" w:ascii="宋体" w:hAnsi="宋体" w:cs="宋体"/>
          <w:sz w:val="24"/>
        </w:rPr>
      </w:pPr>
      <w:r>
        <w:rPr>
          <w:rFonts w:hint="eastAsia" w:ascii="宋体" w:hAnsi="宋体" w:cs="宋体"/>
          <w:sz w:val="24"/>
        </w:rPr>
        <w:t>（一）领域简介（二级标题，小四号，宋体）</w:t>
      </w:r>
    </w:p>
    <w:p>
      <w:pPr>
        <w:spacing w:line="360" w:lineRule="auto"/>
        <w:ind w:firstLine="422" w:firstLineChars="200"/>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（正文）</w:t>
      </w:r>
    </w:p>
    <w:p>
      <w:pPr>
        <w:spacing w:line="360" w:lineRule="auto"/>
        <w:ind w:firstLine="480" w:firstLineChars="200"/>
        <w:rPr>
          <w:rFonts w:hint="eastAsia" w:ascii="仿宋" w:hAnsi="仿宋" w:eastAsia="仿宋" w:cs="仿宋"/>
          <w:sz w:val="24"/>
        </w:rPr>
      </w:pPr>
      <w:r>
        <w:rPr>
          <w:rFonts w:hint="eastAsia" w:ascii="宋体" w:hAnsi="宋体" w:cs="宋体"/>
          <w:sz w:val="24"/>
        </w:rPr>
        <w:t>（二）领域研究方向</w:t>
      </w:r>
    </w:p>
    <w:p>
      <w:pPr>
        <w:spacing w:line="360" w:lineRule="auto"/>
        <w:ind w:firstLine="840" w:firstLineChars="400"/>
        <w:rPr>
          <w:rFonts w:hint="eastAsia" w:ascii="宋体" w:hAnsi="宋体" w:cs="宋体"/>
          <w:szCs w:val="21"/>
        </w:rPr>
      </w:pPr>
      <w:r>
        <w:rPr>
          <w:rFonts w:hint="eastAsia" w:ascii="宋体" w:hAnsi="宋体" w:cs="宋体"/>
          <w:szCs w:val="21"/>
        </w:rPr>
        <w:t>1.</w:t>
      </w:r>
    </w:p>
    <w:p>
      <w:pPr>
        <w:spacing w:line="360" w:lineRule="auto"/>
        <w:ind w:firstLine="840" w:firstLineChars="400"/>
        <w:rPr>
          <w:rFonts w:hint="eastAsia" w:ascii="宋体" w:hAnsi="宋体" w:cs="宋体"/>
          <w:szCs w:val="21"/>
        </w:rPr>
      </w:pPr>
      <w:r>
        <w:rPr>
          <w:rFonts w:hint="eastAsia" w:ascii="宋体" w:hAnsi="宋体" w:cs="宋体"/>
          <w:szCs w:val="21"/>
        </w:rPr>
        <w:t>2.</w:t>
      </w:r>
    </w:p>
    <w:p>
      <w:pPr>
        <w:spacing w:line="360" w:lineRule="auto"/>
        <w:ind w:firstLine="840" w:firstLineChars="400"/>
        <w:rPr>
          <w:rFonts w:hint="eastAsia" w:ascii="宋体" w:hAnsi="宋体" w:cs="宋体"/>
          <w:szCs w:val="21"/>
        </w:rPr>
      </w:pPr>
      <w:r>
        <w:rPr>
          <w:rFonts w:hint="eastAsia" w:ascii="宋体" w:hAnsi="宋体" w:cs="宋体"/>
          <w:szCs w:val="21"/>
        </w:rPr>
        <w:t>3.</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三、培养年限</w:t>
      </w:r>
    </w:p>
    <w:p>
      <w:pPr>
        <w:spacing w:line="360" w:lineRule="auto"/>
        <w:ind w:firstLine="420" w:firstLineChars="200"/>
        <w:rPr>
          <w:rFonts w:hint="eastAsia" w:ascii="宋体" w:hAnsi="宋体" w:cs="宋体"/>
          <w:szCs w:val="21"/>
        </w:rPr>
      </w:pPr>
      <w:r>
        <w:rPr>
          <w:rFonts w:hint="eastAsia" w:ascii="宋体" w:hAnsi="宋体" w:cs="宋体"/>
          <w:szCs w:val="21"/>
        </w:rPr>
        <w:t>专业学位硕士研究生学制为3年，最长培养年限不超过5年。</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 xml:space="preserve">四、培养方式   </w:t>
      </w:r>
    </w:p>
    <w:p>
      <w:pPr>
        <w:spacing w:line="360" w:lineRule="auto"/>
        <w:ind w:firstLine="420" w:firstLineChars="200"/>
        <w:rPr>
          <w:rFonts w:ascii="宋体" w:hAnsi="宋体" w:cs="宋体"/>
          <w:szCs w:val="21"/>
        </w:rPr>
      </w:pPr>
      <w:r>
        <w:rPr>
          <w:rFonts w:ascii="宋体" w:hAnsi="宋体" w:cs="宋体"/>
          <w:szCs w:val="21"/>
        </w:rPr>
        <w:t>1. 全日制专业学位研究生采取课程学习、专业实践和论文研究工作相结合的培养方式。课程学习主要在校内完成，时间一般为0.75–1学年。专业实践可在现场或实习单位完成，时间不少于0.5年。论文研究时间不少于1年</w:t>
      </w:r>
      <w:r>
        <w:rPr>
          <w:rFonts w:hint="eastAsia" w:ascii="宋体" w:hAnsi="宋体" w:cs="宋体"/>
          <w:szCs w:val="21"/>
        </w:rPr>
        <w:t>；</w:t>
      </w:r>
      <w:r>
        <w:rPr>
          <w:rFonts w:ascii="宋体" w:hAnsi="宋体" w:cs="宋体"/>
          <w:szCs w:val="21"/>
        </w:rPr>
        <w:t>非全日制专业学位研究生采取课程学习和论文研究工作相结合的培养方式。在校学习时间累计不少于0.5年。</w:t>
      </w:r>
    </w:p>
    <w:p>
      <w:pPr>
        <w:spacing w:line="360" w:lineRule="auto"/>
        <w:ind w:firstLine="420" w:firstLineChars="200"/>
        <w:rPr>
          <w:rFonts w:ascii="宋体" w:hAnsi="宋体" w:cs="宋体"/>
          <w:szCs w:val="21"/>
        </w:rPr>
      </w:pPr>
      <w:r>
        <w:rPr>
          <w:rFonts w:ascii="宋体" w:hAnsi="宋体" w:cs="宋体"/>
          <w:szCs w:val="21"/>
        </w:rPr>
        <w:t>2. 专业学位硕士研究生的培养实行双导师负责制，校内具有工程实践经验的硕士生导师与工程</w:t>
      </w:r>
      <w:r>
        <w:rPr>
          <w:rFonts w:hint="eastAsia" w:ascii="宋体" w:hAnsi="宋体" w:cs="宋体"/>
          <w:szCs w:val="21"/>
        </w:rPr>
        <w:t>（</w:t>
      </w:r>
      <w:r>
        <w:rPr>
          <w:rFonts w:ascii="宋体" w:hAnsi="宋体" w:cs="宋体"/>
          <w:szCs w:val="21"/>
        </w:rPr>
        <w:t>管理</w:t>
      </w:r>
      <w:r>
        <w:rPr>
          <w:rFonts w:hint="eastAsia" w:ascii="宋体" w:hAnsi="宋体" w:cs="宋体"/>
          <w:szCs w:val="21"/>
        </w:rPr>
        <w:t>）</w:t>
      </w:r>
      <w:r>
        <w:rPr>
          <w:rFonts w:ascii="宋体" w:hAnsi="宋体" w:cs="宋体"/>
          <w:szCs w:val="21"/>
        </w:rPr>
        <w:t>单位遴选的技术</w:t>
      </w:r>
      <w:r>
        <w:rPr>
          <w:rFonts w:hint="eastAsia" w:ascii="宋体" w:hAnsi="宋体" w:cs="宋体"/>
          <w:szCs w:val="21"/>
        </w:rPr>
        <w:t>（</w:t>
      </w:r>
      <w:r>
        <w:rPr>
          <w:rFonts w:ascii="宋体" w:hAnsi="宋体" w:cs="宋体"/>
          <w:szCs w:val="21"/>
        </w:rPr>
        <w:t>管理</w:t>
      </w:r>
      <w:r>
        <w:rPr>
          <w:rFonts w:hint="eastAsia" w:ascii="宋体" w:hAnsi="宋体" w:cs="宋体"/>
          <w:szCs w:val="21"/>
        </w:rPr>
        <w:t>）</w:t>
      </w:r>
      <w:r>
        <w:rPr>
          <w:rFonts w:ascii="宋体" w:hAnsi="宋体" w:cs="宋体"/>
          <w:szCs w:val="21"/>
        </w:rPr>
        <w:t>人员联合指导专业学位硕士研究生。</w:t>
      </w:r>
    </w:p>
    <w:p>
      <w:pPr>
        <w:spacing w:line="360" w:lineRule="auto"/>
        <w:ind w:firstLine="420" w:firstLineChars="200"/>
        <w:rPr>
          <w:rFonts w:ascii="宋体" w:hAnsi="宋体" w:cs="宋体"/>
          <w:szCs w:val="21"/>
        </w:rPr>
      </w:pPr>
      <w:r>
        <w:rPr>
          <w:rFonts w:ascii="宋体" w:hAnsi="宋体" w:cs="宋体"/>
          <w:szCs w:val="21"/>
        </w:rPr>
        <w:t>3. 全日制专业学位研究生采取在校脱产学习方式。非全日制专业学位研究生可根据实际情况，既可采取在校脱产学习方式，也可采取进校不离岗、不脱产的学习方式。</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五、学分要求与课程设置</w:t>
      </w:r>
    </w:p>
    <w:p>
      <w:pPr>
        <w:pStyle w:val="2"/>
        <w:shd w:val="clear" w:color="auto" w:fill="FFFFFF"/>
        <w:spacing w:line="360" w:lineRule="auto"/>
        <w:ind w:firstLine="480" w:firstLineChars="200"/>
        <w:rPr>
          <w:rFonts w:hint="eastAsia"/>
          <w:kern w:val="2"/>
        </w:rPr>
      </w:pPr>
      <w:r>
        <w:rPr>
          <w:rFonts w:hint="eastAsia"/>
        </w:rPr>
        <w:t>（一）学分要求</w:t>
      </w:r>
    </w:p>
    <w:p>
      <w:pPr>
        <w:spacing w:line="360" w:lineRule="auto"/>
        <w:ind w:firstLine="420" w:firstLineChars="200"/>
        <w:rPr>
          <w:rFonts w:hint="eastAsia" w:ascii="宋体" w:hAnsi="宋体" w:cs="宋体"/>
          <w:szCs w:val="21"/>
        </w:rPr>
      </w:pPr>
      <w:r>
        <w:rPr>
          <w:rFonts w:hint="eastAsia" w:ascii="宋体" w:hAnsi="宋体" w:cs="宋体"/>
          <w:szCs w:val="21"/>
        </w:rPr>
        <w:t>专业学位硕士研究生的课程学习实行学分制，课程学时和学分的对应关系为18学时计为1学分。课程学习原则上不超过1年。</w:t>
      </w:r>
    </w:p>
    <w:p>
      <w:pPr>
        <w:spacing w:line="360" w:lineRule="auto"/>
        <w:ind w:firstLine="420" w:firstLineChars="200"/>
        <w:rPr>
          <w:rFonts w:hint="eastAsia" w:ascii="宋体" w:hAnsi="宋体" w:cs="宋体"/>
          <w:szCs w:val="21"/>
        </w:rPr>
      </w:pPr>
      <w:r>
        <w:rPr>
          <w:rFonts w:hint="eastAsia" w:ascii="宋体" w:hAnsi="宋体" w:cs="宋体"/>
          <w:szCs w:val="21"/>
        </w:rPr>
        <w:t>1. 工程硕士课程设置总学分不少于32学分，其中课程不少于24学分，专业实践不少于8学分。</w:t>
      </w:r>
    </w:p>
    <w:p>
      <w:pPr>
        <w:spacing w:line="360" w:lineRule="auto"/>
        <w:ind w:firstLine="420" w:firstLineChars="200"/>
        <w:rPr>
          <w:rFonts w:hint="eastAsia" w:ascii="宋体" w:hAnsi="宋体" w:cs="宋体"/>
          <w:sz w:val="24"/>
        </w:rPr>
      </w:pPr>
      <w:r>
        <w:rPr>
          <w:rFonts w:hint="eastAsia" w:ascii="宋体" w:hAnsi="宋体" w:cs="宋体"/>
          <w:szCs w:val="21"/>
        </w:rPr>
        <w:t>2. 其它专业学位类别的总学分不低于各专业学位教育指导委员会指导性培养方案中规定的学分要求。</w:t>
      </w:r>
    </w:p>
    <w:p>
      <w:pPr>
        <w:spacing w:line="360" w:lineRule="auto"/>
        <w:ind w:firstLine="480" w:firstLineChars="200"/>
        <w:rPr>
          <w:rFonts w:hint="eastAsia" w:ascii="仿宋" w:hAnsi="仿宋" w:eastAsia="仿宋" w:cs="仿宋"/>
          <w:kern w:val="0"/>
          <w:sz w:val="24"/>
        </w:rPr>
      </w:pPr>
      <w:r>
        <w:rPr>
          <w:rFonts w:hint="eastAsia" w:ascii="宋体" w:hAnsi="宋体" w:cs="宋体"/>
          <w:kern w:val="0"/>
          <w:sz w:val="24"/>
        </w:rPr>
        <w:t>（二）课程设置</w:t>
      </w:r>
    </w:p>
    <w:p>
      <w:pPr>
        <w:spacing w:line="540" w:lineRule="exact"/>
        <w:jc w:val="center"/>
        <w:rPr>
          <w:rFonts w:hint="eastAsia" w:ascii="宋体" w:hAnsi="宋体" w:cs="宋体"/>
          <w:b/>
          <w:sz w:val="24"/>
        </w:rPr>
      </w:pPr>
      <w:r>
        <w:rPr>
          <w:rFonts w:hint="eastAsia" w:ascii="宋体" w:hAnsi="宋体" w:cs="宋体"/>
          <w:b/>
          <w:bCs/>
          <w:sz w:val="24"/>
        </w:rPr>
        <w:t>××领域专业学位</w:t>
      </w:r>
      <w:r>
        <w:rPr>
          <w:rFonts w:hint="eastAsia" w:ascii="宋体" w:hAnsi="宋体" w:cs="宋体"/>
          <w:b/>
          <w:sz w:val="24"/>
        </w:rPr>
        <w:t>硕士研究生课程设置（小四号，宋体，加粗，居中）</w:t>
      </w:r>
    </w:p>
    <w:p>
      <w:pPr>
        <w:spacing w:line="540" w:lineRule="exact"/>
        <w:jc w:val="center"/>
        <w:rPr>
          <w:rFonts w:hint="eastAsia" w:ascii="宋体" w:hAnsi="宋体" w:cs="宋体"/>
          <w:bCs/>
          <w:szCs w:val="21"/>
        </w:rPr>
      </w:pPr>
      <w:r>
        <w:rPr>
          <w:rFonts w:hint="eastAsia" w:ascii="宋体" w:hAnsi="宋体" w:cs="宋体"/>
          <w:bCs/>
          <w:szCs w:val="21"/>
        </w:rPr>
        <w:t>（表格内容：五号，宋体，数字：</w:t>
      </w:r>
      <w:r>
        <w:rPr>
          <w:rFonts w:eastAsia="楷体_GB2312"/>
          <w:szCs w:val="21"/>
        </w:rPr>
        <w:t xml:space="preserve">Times New Roman </w:t>
      </w:r>
      <w:r>
        <w:rPr>
          <w:rFonts w:hint="eastAsia" w:ascii="宋体" w:hAnsi="宋体" w:cs="宋体"/>
          <w:szCs w:val="21"/>
        </w:rPr>
        <w:t>格式</w:t>
      </w:r>
      <w:r>
        <w:rPr>
          <w:rFonts w:hint="eastAsia" w:ascii="宋体" w:hAnsi="宋体" w:cs="宋体"/>
          <w:bCs/>
          <w:szCs w:val="21"/>
        </w:rPr>
        <w:t>）</w:t>
      </w:r>
    </w:p>
    <w:tbl>
      <w:tblPr>
        <w:tblStyle w:val="4"/>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532"/>
        <w:gridCol w:w="3243"/>
        <w:gridCol w:w="818"/>
        <w:gridCol w:w="876"/>
        <w:gridCol w:w="747"/>
        <w:gridCol w:w="876"/>
        <w:gridCol w:w="876"/>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0" w:type="dxa"/>
            <w:gridSpan w:val="2"/>
            <w:vAlign w:val="center"/>
          </w:tcPr>
          <w:p>
            <w:pPr>
              <w:jc w:val="center"/>
              <w:rPr>
                <w:b/>
                <w:szCs w:val="21"/>
              </w:rPr>
            </w:pPr>
            <w:r>
              <w:rPr>
                <w:b/>
                <w:szCs w:val="21"/>
              </w:rPr>
              <w:t>课程</w:t>
            </w:r>
          </w:p>
          <w:p>
            <w:pPr>
              <w:jc w:val="center"/>
              <w:rPr>
                <w:b/>
                <w:szCs w:val="21"/>
              </w:rPr>
            </w:pPr>
            <w:r>
              <w:rPr>
                <w:b/>
                <w:szCs w:val="21"/>
              </w:rPr>
              <w:t>类别</w:t>
            </w:r>
          </w:p>
        </w:tc>
        <w:tc>
          <w:tcPr>
            <w:tcW w:w="3243" w:type="dxa"/>
            <w:vAlign w:val="center"/>
          </w:tcPr>
          <w:p>
            <w:pPr>
              <w:jc w:val="center"/>
              <w:rPr>
                <w:b/>
                <w:szCs w:val="21"/>
              </w:rPr>
            </w:pPr>
            <w:r>
              <w:rPr>
                <w:b/>
                <w:szCs w:val="21"/>
              </w:rPr>
              <w:t>课程名称</w:t>
            </w:r>
          </w:p>
        </w:tc>
        <w:tc>
          <w:tcPr>
            <w:tcW w:w="818" w:type="dxa"/>
            <w:vAlign w:val="center"/>
          </w:tcPr>
          <w:p>
            <w:pPr>
              <w:jc w:val="center"/>
              <w:rPr>
                <w:b/>
                <w:szCs w:val="21"/>
              </w:rPr>
            </w:pPr>
            <w:r>
              <w:rPr>
                <w:b/>
                <w:szCs w:val="21"/>
              </w:rPr>
              <w:t>课程</w:t>
            </w:r>
          </w:p>
          <w:p>
            <w:pPr>
              <w:jc w:val="center"/>
              <w:rPr>
                <w:b/>
                <w:szCs w:val="21"/>
              </w:rPr>
            </w:pPr>
            <w:r>
              <w:rPr>
                <w:b/>
                <w:szCs w:val="21"/>
              </w:rPr>
              <w:t>代码</w:t>
            </w:r>
          </w:p>
        </w:tc>
        <w:tc>
          <w:tcPr>
            <w:tcW w:w="876" w:type="dxa"/>
            <w:vAlign w:val="center"/>
          </w:tcPr>
          <w:p>
            <w:pPr>
              <w:jc w:val="center"/>
              <w:rPr>
                <w:b/>
                <w:szCs w:val="21"/>
              </w:rPr>
            </w:pPr>
            <w:r>
              <w:rPr>
                <w:b/>
                <w:szCs w:val="21"/>
              </w:rPr>
              <w:t>开课</w:t>
            </w:r>
          </w:p>
          <w:p>
            <w:pPr>
              <w:jc w:val="center"/>
              <w:rPr>
                <w:b/>
                <w:szCs w:val="21"/>
              </w:rPr>
            </w:pPr>
            <w:r>
              <w:rPr>
                <w:b/>
                <w:szCs w:val="21"/>
              </w:rPr>
              <w:t>学期</w:t>
            </w:r>
          </w:p>
        </w:tc>
        <w:tc>
          <w:tcPr>
            <w:tcW w:w="747" w:type="dxa"/>
            <w:vAlign w:val="center"/>
          </w:tcPr>
          <w:p>
            <w:pPr>
              <w:jc w:val="center"/>
              <w:rPr>
                <w:b/>
                <w:szCs w:val="21"/>
              </w:rPr>
            </w:pPr>
            <w:r>
              <w:rPr>
                <w:b/>
                <w:szCs w:val="21"/>
              </w:rPr>
              <w:t>学分</w:t>
            </w:r>
          </w:p>
        </w:tc>
        <w:tc>
          <w:tcPr>
            <w:tcW w:w="876" w:type="dxa"/>
            <w:vAlign w:val="center"/>
          </w:tcPr>
          <w:p>
            <w:pPr>
              <w:jc w:val="center"/>
              <w:rPr>
                <w:b/>
                <w:szCs w:val="21"/>
              </w:rPr>
            </w:pPr>
            <w:r>
              <w:rPr>
                <w:b/>
                <w:szCs w:val="21"/>
              </w:rPr>
              <w:t>学时</w:t>
            </w:r>
          </w:p>
        </w:tc>
        <w:tc>
          <w:tcPr>
            <w:tcW w:w="876" w:type="dxa"/>
            <w:vAlign w:val="center"/>
          </w:tcPr>
          <w:p>
            <w:pPr>
              <w:jc w:val="center"/>
              <w:rPr>
                <w:b/>
                <w:szCs w:val="21"/>
              </w:rPr>
            </w:pPr>
            <w:r>
              <w:rPr>
                <w:b/>
                <w:szCs w:val="21"/>
              </w:rPr>
              <w:t>考核</w:t>
            </w:r>
          </w:p>
          <w:p>
            <w:pPr>
              <w:jc w:val="center"/>
              <w:rPr>
                <w:b/>
                <w:szCs w:val="21"/>
              </w:rPr>
            </w:pPr>
            <w:r>
              <w:rPr>
                <w:b/>
                <w:szCs w:val="21"/>
              </w:rPr>
              <w:t>方式</w:t>
            </w:r>
          </w:p>
        </w:tc>
        <w:tc>
          <w:tcPr>
            <w:tcW w:w="878" w:type="dxa"/>
            <w:vAlign w:val="center"/>
          </w:tcPr>
          <w:p>
            <w:pPr>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8" w:type="dxa"/>
            <w:vMerge w:val="restart"/>
            <w:vAlign w:val="center"/>
          </w:tcPr>
          <w:p>
            <w:pPr>
              <w:jc w:val="center"/>
              <w:rPr>
                <w:b/>
                <w:szCs w:val="21"/>
              </w:rPr>
            </w:pPr>
            <w:r>
              <w:rPr>
                <w:b/>
                <w:szCs w:val="21"/>
              </w:rPr>
              <w:t>学位课</w:t>
            </w:r>
          </w:p>
          <w:p>
            <w:pPr>
              <w:jc w:val="center"/>
              <w:rPr>
                <w:b/>
                <w:szCs w:val="21"/>
              </w:rPr>
            </w:pPr>
            <w:r>
              <w:rPr>
                <w:b/>
                <w:szCs w:val="21"/>
              </w:rPr>
              <w:t xml:space="preserve"> </w:t>
            </w:r>
          </w:p>
        </w:tc>
        <w:tc>
          <w:tcPr>
            <w:tcW w:w="532" w:type="dxa"/>
            <w:vMerge w:val="restart"/>
            <w:vAlign w:val="center"/>
          </w:tcPr>
          <w:p>
            <w:pPr>
              <w:jc w:val="center"/>
              <w:rPr>
                <w:b/>
                <w:szCs w:val="21"/>
              </w:rPr>
            </w:pPr>
            <w:r>
              <w:rPr>
                <w:b/>
                <w:szCs w:val="21"/>
              </w:rPr>
              <w:t>公</w:t>
            </w:r>
          </w:p>
          <w:p>
            <w:pPr>
              <w:jc w:val="center"/>
              <w:rPr>
                <w:b/>
                <w:szCs w:val="21"/>
              </w:rPr>
            </w:pPr>
            <w:r>
              <w:rPr>
                <w:b/>
                <w:szCs w:val="21"/>
              </w:rPr>
              <w:t>共</w:t>
            </w:r>
          </w:p>
          <w:p>
            <w:pPr>
              <w:jc w:val="center"/>
              <w:rPr>
                <w:b/>
                <w:szCs w:val="21"/>
              </w:rPr>
            </w:pPr>
            <w:r>
              <w:rPr>
                <w:b/>
                <w:szCs w:val="21"/>
              </w:rPr>
              <w:t>课</w:t>
            </w:r>
          </w:p>
          <w:p>
            <w:pPr>
              <w:jc w:val="center"/>
              <w:rPr>
                <w:b/>
                <w:szCs w:val="21"/>
              </w:rPr>
            </w:pPr>
            <w:r>
              <w:rPr>
                <w:b/>
                <w:szCs w:val="21"/>
              </w:rPr>
              <w:t xml:space="preserve"> </w:t>
            </w:r>
          </w:p>
        </w:tc>
        <w:tc>
          <w:tcPr>
            <w:tcW w:w="3243" w:type="dxa"/>
            <w:vAlign w:val="center"/>
          </w:tcPr>
          <w:p>
            <w:pPr>
              <w:rPr>
                <w:szCs w:val="21"/>
              </w:rPr>
            </w:pPr>
            <w:r>
              <w:rPr>
                <w:rFonts w:hint="eastAsia"/>
                <w:szCs w:val="21"/>
              </w:rPr>
              <w:t>第一</w:t>
            </w:r>
            <w:r>
              <w:rPr>
                <w:szCs w:val="21"/>
              </w:rPr>
              <w:t>外国语</w:t>
            </w:r>
          </w:p>
        </w:tc>
        <w:tc>
          <w:tcPr>
            <w:tcW w:w="818" w:type="dxa"/>
            <w:vAlign w:val="center"/>
          </w:tcPr>
          <w:p>
            <w:pPr>
              <w:jc w:val="center"/>
              <w:rPr>
                <w:szCs w:val="21"/>
              </w:rPr>
            </w:pPr>
          </w:p>
        </w:tc>
        <w:tc>
          <w:tcPr>
            <w:tcW w:w="876" w:type="dxa"/>
            <w:vAlign w:val="center"/>
          </w:tcPr>
          <w:p>
            <w:pPr>
              <w:jc w:val="center"/>
              <w:rPr>
                <w:szCs w:val="21"/>
              </w:rPr>
            </w:pPr>
            <w:r>
              <w:rPr>
                <w:szCs w:val="21"/>
              </w:rPr>
              <w:t>1-2</w:t>
            </w:r>
          </w:p>
        </w:tc>
        <w:tc>
          <w:tcPr>
            <w:tcW w:w="747" w:type="dxa"/>
            <w:vAlign w:val="center"/>
          </w:tcPr>
          <w:p>
            <w:pPr>
              <w:jc w:val="center"/>
              <w:rPr>
                <w:rFonts w:hint="eastAsia"/>
                <w:szCs w:val="21"/>
              </w:rPr>
            </w:pPr>
            <w:r>
              <w:rPr>
                <w:rFonts w:hint="eastAsia"/>
                <w:szCs w:val="21"/>
              </w:rPr>
              <w:t>5</w:t>
            </w:r>
          </w:p>
        </w:tc>
        <w:tc>
          <w:tcPr>
            <w:tcW w:w="876" w:type="dxa"/>
            <w:vAlign w:val="center"/>
          </w:tcPr>
          <w:p>
            <w:pPr>
              <w:jc w:val="center"/>
              <w:rPr>
                <w:szCs w:val="21"/>
              </w:rPr>
            </w:pPr>
          </w:p>
        </w:tc>
        <w:tc>
          <w:tcPr>
            <w:tcW w:w="876" w:type="dxa"/>
            <w:vAlign w:val="center"/>
          </w:tcPr>
          <w:p>
            <w:pPr>
              <w:jc w:val="center"/>
              <w:rPr>
                <w:szCs w:val="21"/>
              </w:rPr>
            </w:pPr>
          </w:p>
        </w:tc>
        <w:tc>
          <w:tcPr>
            <w:tcW w:w="8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8" w:type="dxa"/>
            <w:vMerge w:val="continue"/>
            <w:vAlign w:val="top"/>
          </w:tcPr>
          <w:p>
            <w:pPr>
              <w:jc w:val="center"/>
              <w:rPr>
                <w:b/>
                <w:szCs w:val="21"/>
              </w:rPr>
            </w:pPr>
          </w:p>
        </w:tc>
        <w:tc>
          <w:tcPr>
            <w:tcW w:w="532" w:type="dxa"/>
            <w:vMerge w:val="continue"/>
            <w:vAlign w:val="top"/>
          </w:tcPr>
          <w:p>
            <w:pPr>
              <w:jc w:val="center"/>
              <w:rPr>
                <w:b/>
                <w:szCs w:val="21"/>
              </w:rPr>
            </w:pPr>
          </w:p>
        </w:tc>
        <w:tc>
          <w:tcPr>
            <w:tcW w:w="3243" w:type="dxa"/>
            <w:vAlign w:val="center"/>
          </w:tcPr>
          <w:p>
            <w:pPr>
              <w:rPr>
                <w:szCs w:val="21"/>
              </w:rPr>
            </w:pPr>
            <w:r>
              <w:rPr>
                <w:rFonts w:hint="eastAsia"/>
                <w:szCs w:val="21"/>
              </w:rPr>
              <w:t>马克思主义文艺理论（艺术硕士）</w:t>
            </w:r>
          </w:p>
        </w:tc>
        <w:tc>
          <w:tcPr>
            <w:tcW w:w="818" w:type="dxa"/>
            <w:vAlign w:val="center"/>
          </w:tcPr>
          <w:p>
            <w:pPr>
              <w:jc w:val="center"/>
              <w:rPr>
                <w:szCs w:val="21"/>
              </w:rPr>
            </w:pPr>
          </w:p>
        </w:tc>
        <w:tc>
          <w:tcPr>
            <w:tcW w:w="876" w:type="dxa"/>
            <w:vAlign w:val="center"/>
          </w:tcPr>
          <w:p>
            <w:pPr>
              <w:jc w:val="center"/>
              <w:rPr>
                <w:szCs w:val="21"/>
              </w:rPr>
            </w:pPr>
            <w:r>
              <w:rPr>
                <w:szCs w:val="21"/>
              </w:rPr>
              <w:t>1</w:t>
            </w:r>
          </w:p>
        </w:tc>
        <w:tc>
          <w:tcPr>
            <w:tcW w:w="747" w:type="dxa"/>
            <w:vAlign w:val="center"/>
          </w:tcPr>
          <w:p>
            <w:pPr>
              <w:jc w:val="center"/>
              <w:rPr>
                <w:szCs w:val="21"/>
              </w:rPr>
            </w:pPr>
            <w:r>
              <w:rPr>
                <w:rFonts w:hint="eastAsia"/>
                <w:szCs w:val="21"/>
              </w:rPr>
              <w:t>2</w:t>
            </w:r>
          </w:p>
        </w:tc>
        <w:tc>
          <w:tcPr>
            <w:tcW w:w="876" w:type="dxa"/>
            <w:vAlign w:val="center"/>
          </w:tcPr>
          <w:p>
            <w:pPr>
              <w:jc w:val="center"/>
              <w:rPr>
                <w:szCs w:val="21"/>
              </w:rPr>
            </w:pPr>
            <w:r>
              <w:rPr>
                <w:szCs w:val="21"/>
              </w:rPr>
              <w:t>36</w:t>
            </w:r>
          </w:p>
        </w:tc>
        <w:tc>
          <w:tcPr>
            <w:tcW w:w="876" w:type="dxa"/>
            <w:vAlign w:val="center"/>
          </w:tcPr>
          <w:p>
            <w:pPr>
              <w:jc w:val="center"/>
              <w:rPr>
                <w:szCs w:val="21"/>
              </w:rPr>
            </w:pPr>
          </w:p>
        </w:tc>
        <w:tc>
          <w:tcPr>
            <w:tcW w:w="8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8" w:type="dxa"/>
            <w:vMerge w:val="continue"/>
            <w:vAlign w:val="top"/>
          </w:tcPr>
          <w:p>
            <w:pPr>
              <w:jc w:val="center"/>
              <w:rPr>
                <w:b/>
                <w:szCs w:val="21"/>
              </w:rPr>
            </w:pPr>
          </w:p>
        </w:tc>
        <w:tc>
          <w:tcPr>
            <w:tcW w:w="532" w:type="dxa"/>
            <w:vMerge w:val="continue"/>
            <w:vAlign w:val="top"/>
          </w:tcPr>
          <w:p>
            <w:pPr>
              <w:jc w:val="center"/>
              <w:rPr>
                <w:b/>
                <w:szCs w:val="21"/>
              </w:rPr>
            </w:pPr>
          </w:p>
        </w:tc>
        <w:tc>
          <w:tcPr>
            <w:tcW w:w="3243" w:type="dxa"/>
            <w:vAlign w:val="center"/>
          </w:tcPr>
          <w:p>
            <w:pPr>
              <w:rPr>
                <w:szCs w:val="21"/>
              </w:rPr>
            </w:pPr>
            <w:r>
              <w:rPr>
                <w:szCs w:val="21"/>
              </w:rPr>
              <w:t>自然辩证法概论</w:t>
            </w:r>
            <w:r>
              <w:rPr>
                <w:rFonts w:hint="eastAsia"/>
                <w:szCs w:val="21"/>
              </w:rPr>
              <w:t>（工程硕士）</w:t>
            </w:r>
          </w:p>
        </w:tc>
        <w:tc>
          <w:tcPr>
            <w:tcW w:w="818" w:type="dxa"/>
            <w:vAlign w:val="center"/>
          </w:tcPr>
          <w:p>
            <w:pPr>
              <w:jc w:val="center"/>
              <w:rPr>
                <w:szCs w:val="21"/>
              </w:rPr>
            </w:pPr>
          </w:p>
        </w:tc>
        <w:tc>
          <w:tcPr>
            <w:tcW w:w="876" w:type="dxa"/>
            <w:vAlign w:val="center"/>
          </w:tcPr>
          <w:p>
            <w:pPr>
              <w:jc w:val="center"/>
              <w:rPr>
                <w:szCs w:val="21"/>
              </w:rPr>
            </w:pPr>
            <w:r>
              <w:rPr>
                <w:szCs w:val="21"/>
              </w:rPr>
              <w:t>1</w:t>
            </w:r>
          </w:p>
        </w:tc>
        <w:tc>
          <w:tcPr>
            <w:tcW w:w="747" w:type="dxa"/>
            <w:vAlign w:val="center"/>
          </w:tcPr>
          <w:p>
            <w:pPr>
              <w:jc w:val="center"/>
              <w:rPr>
                <w:szCs w:val="21"/>
              </w:rPr>
            </w:pPr>
            <w:r>
              <w:rPr>
                <w:szCs w:val="21"/>
              </w:rPr>
              <w:t>1</w:t>
            </w:r>
          </w:p>
        </w:tc>
        <w:tc>
          <w:tcPr>
            <w:tcW w:w="876" w:type="dxa"/>
            <w:vAlign w:val="center"/>
          </w:tcPr>
          <w:p>
            <w:pPr>
              <w:jc w:val="center"/>
              <w:rPr>
                <w:szCs w:val="21"/>
              </w:rPr>
            </w:pPr>
            <w:r>
              <w:rPr>
                <w:szCs w:val="21"/>
              </w:rPr>
              <w:t>18</w:t>
            </w:r>
          </w:p>
        </w:tc>
        <w:tc>
          <w:tcPr>
            <w:tcW w:w="876" w:type="dxa"/>
            <w:vAlign w:val="center"/>
          </w:tcPr>
          <w:p>
            <w:pPr>
              <w:jc w:val="center"/>
              <w:rPr>
                <w:szCs w:val="21"/>
              </w:rPr>
            </w:pPr>
          </w:p>
        </w:tc>
        <w:tc>
          <w:tcPr>
            <w:tcW w:w="8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8" w:type="dxa"/>
            <w:vMerge w:val="continue"/>
            <w:vAlign w:val="top"/>
          </w:tcPr>
          <w:p>
            <w:pPr>
              <w:jc w:val="center"/>
              <w:rPr>
                <w:b/>
                <w:szCs w:val="21"/>
              </w:rPr>
            </w:pPr>
          </w:p>
        </w:tc>
        <w:tc>
          <w:tcPr>
            <w:tcW w:w="532" w:type="dxa"/>
            <w:vMerge w:val="continue"/>
            <w:vAlign w:val="top"/>
          </w:tcPr>
          <w:p>
            <w:pPr>
              <w:jc w:val="center"/>
              <w:rPr>
                <w:b/>
                <w:szCs w:val="21"/>
              </w:rPr>
            </w:pPr>
          </w:p>
        </w:tc>
        <w:tc>
          <w:tcPr>
            <w:tcW w:w="3243" w:type="dxa"/>
            <w:vAlign w:val="center"/>
          </w:tcPr>
          <w:p>
            <w:pPr>
              <w:rPr>
                <w:szCs w:val="21"/>
              </w:rPr>
            </w:pPr>
            <w:r>
              <w:rPr>
                <w:szCs w:val="21"/>
              </w:rPr>
              <w:t>马克思主义与社会科学方法论</w:t>
            </w:r>
            <w:r>
              <w:rPr>
                <w:rFonts w:hint="eastAsia"/>
                <w:szCs w:val="21"/>
              </w:rPr>
              <w:t>（工程硕士）</w:t>
            </w:r>
          </w:p>
        </w:tc>
        <w:tc>
          <w:tcPr>
            <w:tcW w:w="818" w:type="dxa"/>
            <w:vAlign w:val="center"/>
          </w:tcPr>
          <w:p>
            <w:pPr>
              <w:jc w:val="center"/>
              <w:rPr>
                <w:szCs w:val="21"/>
              </w:rPr>
            </w:pPr>
          </w:p>
        </w:tc>
        <w:tc>
          <w:tcPr>
            <w:tcW w:w="876" w:type="dxa"/>
            <w:vAlign w:val="center"/>
          </w:tcPr>
          <w:p>
            <w:pPr>
              <w:jc w:val="center"/>
              <w:rPr>
                <w:szCs w:val="21"/>
              </w:rPr>
            </w:pPr>
            <w:r>
              <w:rPr>
                <w:szCs w:val="21"/>
              </w:rPr>
              <w:t>1</w:t>
            </w:r>
          </w:p>
        </w:tc>
        <w:tc>
          <w:tcPr>
            <w:tcW w:w="747" w:type="dxa"/>
            <w:vAlign w:val="center"/>
          </w:tcPr>
          <w:p>
            <w:pPr>
              <w:jc w:val="center"/>
              <w:rPr>
                <w:szCs w:val="21"/>
              </w:rPr>
            </w:pPr>
            <w:r>
              <w:rPr>
                <w:szCs w:val="21"/>
              </w:rPr>
              <w:t>1</w:t>
            </w:r>
          </w:p>
        </w:tc>
        <w:tc>
          <w:tcPr>
            <w:tcW w:w="876" w:type="dxa"/>
            <w:vAlign w:val="center"/>
          </w:tcPr>
          <w:p>
            <w:pPr>
              <w:jc w:val="center"/>
              <w:rPr>
                <w:szCs w:val="21"/>
              </w:rPr>
            </w:pPr>
            <w:r>
              <w:rPr>
                <w:szCs w:val="21"/>
              </w:rPr>
              <w:t>18</w:t>
            </w:r>
          </w:p>
        </w:tc>
        <w:tc>
          <w:tcPr>
            <w:tcW w:w="876" w:type="dxa"/>
            <w:vAlign w:val="center"/>
          </w:tcPr>
          <w:p>
            <w:pPr>
              <w:jc w:val="center"/>
              <w:rPr>
                <w:szCs w:val="21"/>
              </w:rPr>
            </w:pPr>
          </w:p>
        </w:tc>
        <w:tc>
          <w:tcPr>
            <w:tcW w:w="8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588" w:type="dxa"/>
            <w:vMerge w:val="continue"/>
            <w:vAlign w:val="top"/>
          </w:tcPr>
          <w:p>
            <w:pPr>
              <w:jc w:val="center"/>
              <w:rPr>
                <w:b/>
                <w:szCs w:val="21"/>
              </w:rPr>
            </w:pPr>
          </w:p>
        </w:tc>
        <w:tc>
          <w:tcPr>
            <w:tcW w:w="532" w:type="dxa"/>
            <w:vMerge w:val="continue"/>
            <w:vAlign w:val="top"/>
          </w:tcPr>
          <w:p>
            <w:pPr>
              <w:jc w:val="center"/>
              <w:rPr>
                <w:b/>
                <w:szCs w:val="21"/>
              </w:rPr>
            </w:pPr>
          </w:p>
        </w:tc>
        <w:tc>
          <w:tcPr>
            <w:tcW w:w="3243" w:type="dxa"/>
            <w:vAlign w:val="center"/>
          </w:tcPr>
          <w:p>
            <w:pPr>
              <w:rPr>
                <w:szCs w:val="21"/>
              </w:rPr>
            </w:pPr>
            <w:r>
              <w:rPr>
                <w:szCs w:val="21"/>
              </w:rPr>
              <w:t>……</w:t>
            </w:r>
          </w:p>
        </w:tc>
        <w:tc>
          <w:tcPr>
            <w:tcW w:w="818" w:type="dxa"/>
            <w:vAlign w:val="center"/>
          </w:tcPr>
          <w:p>
            <w:pPr>
              <w:jc w:val="center"/>
              <w:rPr>
                <w:szCs w:val="21"/>
              </w:rPr>
            </w:pPr>
          </w:p>
        </w:tc>
        <w:tc>
          <w:tcPr>
            <w:tcW w:w="876" w:type="dxa"/>
            <w:vAlign w:val="center"/>
          </w:tcPr>
          <w:p>
            <w:pPr>
              <w:jc w:val="center"/>
              <w:rPr>
                <w:szCs w:val="21"/>
              </w:rPr>
            </w:pPr>
          </w:p>
        </w:tc>
        <w:tc>
          <w:tcPr>
            <w:tcW w:w="747" w:type="dxa"/>
            <w:vAlign w:val="center"/>
          </w:tcPr>
          <w:p>
            <w:pPr>
              <w:jc w:val="center"/>
              <w:rPr>
                <w:szCs w:val="21"/>
              </w:rPr>
            </w:pPr>
          </w:p>
        </w:tc>
        <w:tc>
          <w:tcPr>
            <w:tcW w:w="876" w:type="dxa"/>
            <w:vAlign w:val="center"/>
          </w:tcPr>
          <w:p>
            <w:pPr>
              <w:jc w:val="center"/>
              <w:rPr>
                <w:szCs w:val="21"/>
              </w:rPr>
            </w:pPr>
          </w:p>
        </w:tc>
        <w:tc>
          <w:tcPr>
            <w:tcW w:w="876" w:type="dxa"/>
            <w:vAlign w:val="center"/>
          </w:tcPr>
          <w:p>
            <w:pPr>
              <w:jc w:val="center"/>
              <w:rPr>
                <w:szCs w:val="21"/>
              </w:rPr>
            </w:pPr>
          </w:p>
        </w:tc>
        <w:tc>
          <w:tcPr>
            <w:tcW w:w="8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588" w:type="dxa"/>
            <w:vMerge w:val="continue"/>
            <w:vAlign w:val="top"/>
          </w:tcPr>
          <w:p>
            <w:pPr>
              <w:jc w:val="center"/>
              <w:rPr>
                <w:b/>
                <w:szCs w:val="21"/>
              </w:rPr>
            </w:pPr>
          </w:p>
        </w:tc>
        <w:tc>
          <w:tcPr>
            <w:tcW w:w="532" w:type="dxa"/>
            <w:vAlign w:val="top"/>
          </w:tcPr>
          <w:p>
            <w:pPr>
              <w:jc w:val="center"/>
              <w:rPr>
                <w:b/>
                <w:szCs w:val="21"/>
              </w:rPr>
            </w:pPr>
            <w:r>
              <w:rPr>
                <w:b/>
                <w:szCs w:val="21"/>
              </w:rPr>
              <w:t>专业课</w:t>
            </w:r>
          </w:p>
        </w:tc>
        <w:tc>
          <w:tcPr>
            <w:tcW w:w="3243" w:type="dxa"/>
            <w:vAlign w:val="center"/>
          </w:tcPr>
          <w:p>
            <w:pPr>
              <w:rPr>
                <w:szCs w:val="21"/>
              </w:rPr>
            </w:pPr>
            <w:r>
              <w:rPr>
                <w:szCs w:val="21"/>
              </w:rPr>
              <w:t>根据教指委指导性培养方案，培养单位自行决定开课数目与课程学分，其中应包括实践性课程。</w:t>
            </w:r>
          </w:p>
        </w:tc>
        <w:tc>
          <w:tcPr>
            <w:tcW w:w="818" w:type="dxa"/>
            <w:vAlign w:val="center"/>
          </w:tcPr>
          <w:p>
            <w:pPr>
              <w:jc w:val="center"/>
              <w:rPr>
                <w:szCs w:val="21"/>
              </w:rPr>
            </w:pPr>
            <w:r>
              <w:rPr>
                <w:szCs w:val="21"/>
              </w:rPr>
              <w:t>……</w:t>
            </w:r>
          </w:p>
        </w:tc>
        <w:tc>
          <w:tcPr>
            <w:tcW w:w="876" w:type="dxa"/>
            <w:vAlign w:val="center"/>
          </w:tcPr>
          <w:p>
            <w:pPr>
              <w:jc w:val="center"/>
              <w:rPr>
                <w:szCs w:val="21"/>
              </w:rPr>
            </w:pPr>
            <w:r>
              <w:rPr>
                <w:szCs w:val="21"/>
              </w:rPr>
              <w:t>1</w:t>
            </w:r>
          </w:p>
        </w:tc>
        <w:tc>
          <w:tcPr>
            <w:tcW w:w="747" w:type="dxa"/>
            <w:vAlign w:val="center"/>
          </w:tcPr>
          <w:p>
            <w:pPr>
              <w:jc w:val="center"/>
              <w:rPr>
                <w:szCs w:val="21"/>
              </w:rPr>
            </w:pPr>
            <w:r>
              <w:rPr>
                <w:szCs w:val="21"/>
              </w:rPr>
              <w:t>……</w:t>
            </w:r>
          </w:p>
        </w:tc>
        <w:tc>
          <w:tcPr>
            <w:tcW w:w="876" w:type="dxa"/>
            <w:vAlign w:val="center"/>
          </w:tcPr>
          <w:p>
            <w:pPr>
              <w:jc w:val="center"/>
              <w:rPr>
                <w:szCs w:val="21"/>
              </w:rPr>
            </w:pPr>
            <w:r>
              <w:rPr>
                <w:szCs w:val="21"/>
              </w:rPr>
              <w:t>……</w:t>
            </w:r>
          </w:p>
        </w:tc>
        <w:tc>
          <w:tcPr>
            <w:tcW w:w="876" w:type="dxa"/>
            <w:vAlign w:val="center"/>
          </w:tcPr>
          <w:p>
            <w:pPr>
              <w:jc w:val="center"/>
              <w:rPr>
                <w:szCs w:val="21"/>
              </w:rPr>
            </w:pPr>
            <w:r>
              <w:rPr>
                <w:szCs w:val="21"/>
              </w:rPr>
              <w:t>……</w:t>
            </w:r>
          </w:p>
        </w:tc>
        <w:tc>
          <w:tcPr>
            <w:tcW w:w="8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88" w:type="dxa"/>
            <w:vAlign w:val="center"/>
          </w:tcPr>
          <w:p>
            <w:pPr>
              <w:jc w:val="center"/>
              <w:rPr>
                <w:rFonts w:hint="eastAsia"/>
                <w:b/>
                <w:szCs w:val="21"/>
              </w:rPr>
            </w:pPr>
            <w:r>
              <w:rPr>
                <w:rFonts w:hint="eastAsia"/>
                <w:b/>
                <w:szCs w:val="21"/>
              </w:rPr>
              <w:t>非学位课</w:t>
            </w:r>
          </w:p>
        </w:tc>
        <w:tc>
          <w:tcPr>
            <w:tcW w:w="532" w:type="dxa"/>
            <w:vAlign w:val="center"/>
          </w:tcPr>
          <w:p>
            <w:pPr>
              <w:jc w:val="center"/>
              <w:rPr>
                <w:b/>
                <w:szCs w:val="21"/>
              </w:rPr>
            </w:pPr>
            <w:r>
              <w:rPr>
                <w:b/>
                <w:szCs w:val="21"/>
              </w:rPr>
              <w:t>专业</w:t>
            </w:r>
          </w:p>
          <w:p>
            <w:pPr>
              <w:jc w:val="center"/>
              <w:rPr>
                <w:b/>
                <w:szCs w:val="21"/>
              </w:rPr>
            </w:pPr>
            <w:r>
              <w:rPr>
                <w:b/>
                <w:szCs w:val="21"/>
              </w:rPr>
              <w:t>选修课</w:t>
            </w:r>
          </w:p>
        </w:tc>
        <w:tc>
          <w:tcPr>
            <w:tcW w:w="3243" w:type="dxa"/>
            <w:vAlign w:val="center"/>
          </w:tcPr>
          <w:p>
            <w:pPr>
              <w:rPr>
                <w:szCs w:val="21"/>
              </w:rPr>
            </w:pPr>
            <w:r>
              <w:rPr>
                <w:szCs w:val="21"/>
              </w:rPr>
              <w:t>根据教指委指导性培养方案，培养单位自行决定开课数目与课程学分。</w:t>
            </w:r>
          </w:p>
        </w:tc>
        <w:tc>
          <w:tcPr>
            <w:tcW w:w="818" w:type="dxa"/>
            <w:vAlign w:val="center"/>
          </w:tcPr>
          <w:p>
            <w:pPr>
              <w:jc w:val="center"/>
              <w:rPr>
                <w:szCs w:val="21"/>
              </w:rPr>
            </w:pPr>
            <w:r>
              <w:rPr>
                <w:szCs w:val="21"/>
              </w:rPr>
              <w:t>……</w:t>
            </w:r>
          </w:p>
        </w:tc>
        <w:tc>
          <w:tcPr>
            <w:tcW w:w="876" w:type="dxa"/>
            <w:vAlign w:val="center"/>
          </w:tcPr>
          <w:p>
            <w:pPr>
              <w:jc w:val="center"/>
              <w:rPr>
                <w:szCs w:val="21"/>
              </w:rPr>
            </w:pPr>
            <w:r>
              <w:rPr>
                <w:szCs w:val="21"/>
              </w:rPr>
              <w:t>2</w:t>
            </w:r>
          </w:p>
        </w:tc>
        <w:tc>
          <w:tcPr>
            <w:tcW w:w="747" w:type="dxa"/>
            <w:vAlign w:val="center"/>
          </w:tcPr>
          <w:p>
            <w:pPr>
              <w:jc w:val="center"/>
              <w:rPr>
                <w:szCs w:val="21"/>
              </w:rPr>
            </w:pPr>
            <w:r>
              <w:rPr>
                <w:szCs w:val="21"/>
              </w:rPr>
              <w:t>……</w:t>
            </w:r>
          </w:p>
        </w:tc>
        <w:tc>
          <w:tcPr>
            <w:tcW w:w="876" w:type="dxa"/>
            <w:vAlign w:val="center"/>
          </w:tcPr>
          <w:p>
            <w:pPr>
              <w:jc w:val="center"/>
              <w:rPr>
                <w:szCs w:val="21"/>
              </w:rPr>
            </w:pPr>
            <w:r>
              <w:rPr>
                <w:szCs w:val="21"/>
              </w:rPr>
              <w:t>……</w:t>
            </w:r>
          </w:p>
        </w:tc>
        <w:tc>
          <w:tcPr>
            <w:tcW w:w="876" w:type="dxa"/>
            <w:vAlign w:val="center"/>
          </w:tcPr>
          <w:p>
            <w:pPr>
              <w:jc w:val="center"/>
              <w:rPr>
                <w:szCs w:val="21"/>
              </w:rPr>
            </w:pPr>
            <w:r>
              <w:rPr>
                <w:szCs w:val="21"/>
              </w:rPr>
              <w:t>……</w:t>
            </w:r>
          </w:p>
        </w:tc>
        <w:tc>
          <w:tcPr>
            <w:tcW w:w="8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0" w:type="dxa"/>
            <w:gridSpan w:val="2"/>
            <w:vAlign w:val="center"/>
          </w:tcPr>
          <w:p>
            <w:pPr>
              <w:jc w:val="center"/>
              <w:rPr>
                <w:b/>
                <w:szCs w:val="21"/>
              </w:rPr>
            </w:pPr>
            <w:r>
              <w:rPr>
                <w:b/>
                <w:szCs w:val="21"/>
              </w:rPr>
              <w:t>专业</w:t>
            </w:r>
          </w:p>
          <w:p>
            <w:pPr>
              <w:jc w:val="center"/>
              <w:rPr>
                <w:b/>
                <w:szCs w:val="21"/>
              </w:rPr>
            </w:pPr>
            <w:r>
              <w:rPr>
                <w:b/>
                <w:szCs w:val="21"/>
              </w:rPr>
              <w:t>实践</w:t>
            </w:r>
          </w:p>
        </w:tc>
        <w:tc>
          <w:tcPr>
            <w:tcW w:w="3243" w:type="dxa"/>
            <w:vAlign w:val="center"/>
          </w:tcPr>
          <w:p>
            <w:pPr>
              <w:rPr>
                <w:szCs w:val="21"/>
              </w:rPr>
            </w:pPr>
            <w:r>
              <w:rPr>
                <w:szCs w:val="21"/>
              </w:rPr>
              <w:t>专业实践学分设置应等于或高于专业学位教指委的学分规定……</w:t>
            </w:r>
          </w:p>
        </w:tc>
        <w:tc>
          <w:tcPr>
            <w:tcW w:w="818" w:type="dxa"/>
            <w:vAlign w:val="center"/>
          </w:tcPr>
          <w:p>
            <w:pPr>
              <w:jc w:val="center"/>
              <w:rPr>
                <w:szCs w:val="21"/>
              </w:rPr>
            </w:pPr>
            <w:r>
              <w:rPr>
                <w:szCs w:val="21"/>
              </w:rPr>
              <w:t>……</w:t>
            </w:r>
          </w:p>
        </w:tc>
        <w:tc>
          <w:tcPr>
            <w:tcW w:w="876" w:type="dxa"/>
            <w:vAlign w:val="center"/>
          </w:tcPr>
          <w:p>
            <w:pPr>
              <w:jc w:val="center"/>
              <w:rPr>
                <w:rFonts w:hint="eastAsia"/>
                <w:szCs w:val="21"/>
              </w:rPr>
            </w:pPr>
            <w:r>
              <w:rPr>
                <w:rFonts w:hint="eastAsia"/>
                <w:szCs w:val="21"/>
              </w:rPr>
              <w:t>1</w:t>
            </w:r>
            <w:r>
              <w:rPr>
                <w:szCs w:val="21"/>
              </w:rPr>
              <w:t>-</w:t>
            </w:r>
            <w:r>
              <w:rPr>
                <w:rFonts w:hint="eastAsia"/>
                <w:szCs w:val="21"/>
              </w:rPr>
              <w:t>4</w:t>
            </w:r>
          </w:p>
        </w:tc>
        <w:tc>
          <w:tcPr>
            <w:tcW w:w="747" w:type="dxa"/>
            <w:vAlign w:val="center"/>
          </w:tcPr>
          <w:p>
            <w:pPr>
              <w:jc w:val="center"/>
              <w:rPr>
                <w:szCs w:val="21"/>
              </w:rPr>
            </w:pPr>
          </w:p>
        </w:tc>
        <w:tc>
          <w:tcPr>
            <w:tcW w:w="876" w:type="dxa"/>
            <w:vAlign w:val="center"/>
          </w:tcPr>
          <w:p>
            <w:pPr>
              <w:jc w:val="center"/>
              <w:rPr>
                <w:szCs w:val="21"/>
              </w:rPr>
            </w:pPr>
            <w:r>
              <w:rPr>
                <w:szCs w:val="21"/>
              </w:rPr>
              <w:t>……</w:t>
            </w:r>
          </w:p>
        </w:tc>
        <w:tc>
          <w:tcPr>
            <w:tcW w:w="876" w:type="dxa"/>
            <w:vAlign w:val="center"/>
          </w:tcPr>
          <w:p>
            <w:pPr>
              <w:jc w:val="center"/>
              <w:rPr>
                <w:szCs w:val="21"/>
              </w:rPr>
            </w:pPr>
            <w:r>
              <w:rPr>
                <w:szCs w:val="21"/>
              </w:rPr>
              <w:t>……</w:t>
            </w:r>
          </w:p>
        </w:tc>
        <w:tc>
          <w:tcPr>
            <w:tcW w:w="87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20" w:type="dxa"/>
            <w:gridSpan w:val="2"/>
            <w:vAlign w:val="center"/>
          </w:tcPr>
          <w:p>
            <w:pPr>
              <w:jc w:val="center"/>
              <w:rPr>
                <w:b/>
                <w:szCs w:val="21"/>
              </w:rPr>
            </w:pPr>
            <w:r>
              <w:rPr>
                <w:b/>
                <w:szCs w:val="21"/>
              </w:rPr>
              <w:t>前置</w:t>
            </w:r>
          </w:p>
          <w:p>
            <w:pPr>
              <w:jc w:val="center"/>
              <w:rPr>
                <w:b/>
                <w:szCs w:val="21"/>
              </w:rPr>
            </w:pPr>
            <w:r>
              <w:rPr>
                <w:b/>
                <w:szCs w:val="21"/>
              </w:rPr>
              <w:t>课程</w:t>
            </w:r>
          </w:p>
        </w:tc>
        <w:tc>
          <w:tcPr>
            <w:tcW w:w="7436" w:type="dxa"/>
            <w:gridSpan w:val="6"/>
            <w:vAlign w:val="top"/>
          </w:tcPr>
          <w:p>
            <w:pPr>
              <w:rPr>
                <w:szCs w:val="21"/>
              </w:rPr>
            </w:pPr>
            <w:r>
              <w:rPr>
                <w:szCs w:val="21"/>
              </w:rPr>
              <w:t>为了保证培养质量，跨学科或以同等学历考入本</w:t>
            </w:r>
            <w:r>
              <w:rPr>
                <w:rFonts w:hint="eastAsia"/>
                <w:szCs w:val="21"/>
              </w:rPr>
              <w:t>领域</w:t>
            </w:r>
            <w:r>
              <w:rPr>
                <w:szCs w:val="21"/>
              </w:rPr>
              <w:t>的硕士</w:t>
            </w:r>
            <w:r>
              <w:rPr>
                <w:rFonts w:hint="eastAsia"/>
                <w:szCs w:val="21"/>
              </w:rPr>
              <w:t>研究</w:t>
            </w:r>
            <w:r>
              <w:rPr>
                <w:szCs w:val="21"/>
              </w:rPr>
              <w:t>生需按培养方案的要求，在导师指导下，补修2门本</w:t>
            </w:r>
            <w:r>
              <w:rPr>
                <w:rFonts w:hint="eastAsia"/>
                <w:szCs w:val="21"/>
              </w:rPr>
              <w:t>学</w:t>
            </w:r>
            <w:r>
              <w:rPr>
                <w:szCs w:val="21"/>
              </w:rPr>
              <w:t>科主干课程。补修课程所得的学分不计入总学分，考试成绩如实记载。</w:t>
            </w:r>
          </w:p>
        </w:tc>
        <w:tc>
          <w:tcPr>
            <w:tcW w:w="878" w:type="dxa"/>
            <w:vAlign w:val="top"/>
          </w:tcPr>
          <w:p>
            <w:pPr>
              <w:jc w:val="center"/>
              <w:rPr>
                <w:szCs w:val="21"/>
              </w:rPr>
            </w:pPr>
          </w:p>
        </w:tc>
      </w:tr>
    </w:tbl>
    <w:p>
      <w:pPr>
        <w:spacing w:line="360" w:lineRule="auto"/>
        <w:ind w:firstLine="420"/>
        <w:rPr>
          <w:rFonts w:hint="eastAsia" w:ascii="宋体" w:hAnsi="宋体" w:cs="宋体"/>
          <w:szCs w:val="21"/>
        </w:rPr>
      </w:pPr>
      <w:r>
        <w:rPr>
          <w:rFonts w:hint="eastAsia" w:ascii="宋体" w:hAnsi="宋体" w:cs="宋体"/>
          <w:szCs w:val="21"/>
        </w:rPr>
        <w:t>注： 1.研究生课程编码按《西安工程大学研究生课程编号编码规则》执行，学术型和专业学位课程统一编码。</w:t>
      </w:r>
    </w:p>
    <w:p>
      <w:pPr>
        <w:spacing w:line="360" w:lineRule="auto"/>
        <w:ind w:firstLine="630"/>
        <w:rPr>
          <w:rFonts w:hint="eastAsia" w:ascii="宋体" w:hAnsi="宋体" w:cs="宋体"/>
          <w:szCs w:val="21"/>
        </w:rPr>
      </w:pPr>
      <w:r>
        <w:rPr>
          <w:rFonts w:hint="eastAsia" w:ascii="宋体" w:hAnsi="宋体" w:cs="宋体"/>
          <w:szCs w:val="21"/>
        </w:rPr>
        <w:t xml:space="preserve">   2.学位课原则上安排在第一学期，非学位课安排在第二学期。</w:t>
      </w:r>
    </w:p>
    <w:p>
      <w:pPr>
        <w:spacing w:line="360" w:lineRule="auto"/>
        <w:ind w:firstLine="480" w:firstLineChars="200"/>
        <w:rPr>
          <w:rFonts w:hint="eastAsia" w:ascii="宋体" w:hAnsi="宋体" w:cs="宋体"/>
          <w:kern w:val="0"/>
          <w:sz w:val="24"/>
        </w:rPr>
      </w:pPr>
      <w:r>
        <w:rPr>
          <w:rFonts w:hint="eastAsia" w:ascii="宋体" w:hAnsi="宋体" w:cs="宋体"/>
          <w:kern w:val="0"/>
          <w:sz w:val="24"/>
        </w:rPr>
        <w:t>（三）专业实践</w:t>
      </w:r>
    </w:p>
    <w:p>
      <w:pPr>
        <w:spacing w:line="360" w:lineRule="auto"/>
        <w:ind w:firstLine="420" w:firstLineChars="200"/>
        <w:rPr>
          <w:rFonts w:hint="eastAsia" w:ascii="宋体" w:hAnsi="宋体" w:cs="宋体"/>
          <w:b/>
          <w:bCs/>
          <w:szCs w:val="21"/>
        </w:rPr>
      </w:pPr>
      <w:r>
        <w:rPr>
          <w:rFonts w:hint="eastAsia" w:ascii="宋体" w:hAnsi="宋体" w:cs="宋体"/>
          <w:szCs w:val="21"/>
        </w:rPr>
        <w:t>专业实践是全日制专业学位研究生培养的重要环节，面向行业领域进行充分的、高质量的专业实践是培养高层次应用型人才的重要环节。在课程学习阶段融入解决专业实际问题能力训练后，研究生须到行业或企业进行专业实践，可采用集中实践与分段实践相结合的方式进行，保证不少于半年的专业实践。</w:t>
      </w:r>
      <w:r>
        <w:rPr>
          <w:rFonts w:hint="eastAsia" w:ascii="宋体" w:hAnsi="宋体" w:cs="宋体"/>
          <w:b/>
          <w:bCs/>
          <w:szCs w:val="21"/>
        </w:rPr>
        <w:t>各领域专业实践环节学分设置应等于或高于各专业学位教指委的相关要求。</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六、培养环节</w:t>
      </w:r>
    </w:p>
    <w:p>
      <w:pPr>
        <w:numPr>
          <w:ilvl w:val="0"/>
          <w:numId w:val="1"/>
        </w:numPr>
        <w:spacing w:line="360" w:lineRule="auto"/>
        <w:rPr>
          <w:rFonts w:hint="eastAsia" w:ascii="宋体" w:hAnsi="宋体" w:cs="宋体"/>
          <w:kern w:val="0"/>
          <w:sz w:val="24"/>
        </w:rPr>
      </w:pPr>
      <w:r>
        <w:rPr>
          <w:rFonts w:hint="eastAsia" w:ascii="宋体" w:hAnsi="宋体" w:cs="宋体"/>
          <w:kern w:val="0"/>
          <w:sz w:val="24"/>
        </w:rPr>
        <w:t>论文开题</w:t>
      </w:r>
    </w:p>
    <w:p>
      <w:pPr>
        <w:spacing w:line="360" w:lineRule="auto"/>
        <w:rPr>
          <w:rFonts w:hint="eastAsia" w:ascii="宋体" w:hAnsi="宋体" w:cs="宋体"/>
          <w:b/>
          <w:bCs/>
          <w:szCs w:val="21"/>
        </w:rPr>
      </w:pPr>
      <w:r>
        <w:rPr>
          <w:rFonts w:hint="eastAsia" w:ascii="宋体" w:hAnsi="宋体" w:cs="宋体"/>
          <w:sz w:val="24"/>
        </w:rPr>
        <w:t xml:space="preserve">    </w:t>
      </w:r>
      <w:r>
        <w:rPr>
          <w:rFonts w:hint="eastAsia" w:ascii="宋体" w:hAnsi="宋体" w:cs="宋体"/>
          <w:szCs w:val="21"/>
        </w:rPr>
        <w:t>硕士生应在校内导师和校外导师共同指导下，完成论文选题。论文选题应来源于专业实际，应有现实针对性、应用性；论文内容强调理论在实践中的应用；论文要综合反映学生运用知识分析问题和解决问题的能力及调查研究的能力。学位论文可结合调查研究、应用基础研究、规划设计、产品开发、案例分析、项目管理、文学艺术作品等内容撰写。学位论文须在导师指导下独立完成。</w:t>
      </w:r>
      <w:r>
        <w:rPr>
          <w:rFonts w:hint="eastAsia" w:ascii="宋体" w:hAnsi="宋体" w:cs="宋体"/>
          <w:b/>
          <w:bCs/>
          <w:szCs w:val="21"/>
        </w:rPr>
        <w:t>论文选题应符合各专业学位教指委的相关要求。</w:t>
      </w:r>
    </w:p>
    <w:p>
      <w:pPr>
        <w:spacing w:line="360" w:lineRule="auto"/>
        <w:ind w:firstLine="480" w:firstLineChars="200"/>
        <w:rPr>
          <w:rFonts w:hint="eastAsia" w:ascii="宋体" w:hAnsi="宋体" w:cs="宋体"/>
          <w:kern w:val="0"/>
          <w:sz w:val="24"/>
        </w:rPr>
      </w:pPr>
      <w:r>
        <w:rPr>
          <w:rFonts w:hint="eastAsia" w:ascii="宋体" w:hAnsi="宋体" w:cs="宋体"/>
          <w:kern w:val="0"/>
          <w:sz w:val="24"/>
        </w:rPr>
        <w:t>（二）中期考核</w:t>
      </w:r>
    </w:p>
    <w:p>
      <w:pPr>
        <w:spacing w:line="360" w:lineRule="auto"/>
        <w:ind w:firstLine="420" w:firstLineChars="200"/>
        <w:rPr>
          <w:rFonts w:hint="eastAsia" w:ascii="宋体" w:hAnsi="宋体" w:cs="宋体"/>
          <w:szCs w:val="21"/>
        </w:rPr>
      </w:pPr>
      <w:r>
        <w:rPr>
          <w:rFonts w:hint="eastAsia" w:ascii="宋体" w:hAnsi="宋体" w:cs="宋体"/>
          <w:szCs w:val="21"/>
        </w:rPr>
        <w:t>全面考核研究生思想政治素质，考核规定课程、专业实践、论文开题、中期检查等环节的完成情况及其职业和实践能力。考核通过者，进入下一阶段学习；不通过者，可以申请再次考核；再次考核不通过者，予以分流处理。</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七、学位论文</w:t>
      </w:r>
    </w:p>
    <w:p>
      <w:pPr>
        <w:spacing w:line="360" w:lineRule="auto"/>
        <w:ind w:firstLine="420" w:firstLineChars="200"/>
        <w:rPr>
          <w:rFonts w:hint="eastAsia" w:ascii="黑体" w:hAnsi="黑体" w:eastAsia="黑体" w:cs="黑体"/>
          <w:bCs/>
          <w:sz w:val="24"/>
        </w:rPr>
      </w:pPr>
      <w:r>
        <w:rPr>
          <w:rFonts w:hint="eastAsia" w:ascii="宋体" w:hAnsi="宋体" w:cs="宋体"/>
          <w:szCs w:val="21"/>
        </w:rPr>
        <w:t>各领域对学位论文规范要求和质量做出具体规定。</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八、毕业及学位授予</w:t>
      </w:r>
    </w:p>
    <w:p>
      <w:pPr>
        <w:spacing w:line="360" w:lineRule="auto"/>
        <w:ind w:firstLine="422" w:firstLineChars="200"/>
        <w:rPr>
          <w:rFonts w:hint="eastAsia" w:ascii="宋体" w:hAnsi="宋体" w:cs="宋体"/>
          <w:szCs w:val="21"/>
        </w:rPr>
      </w:pPr>
      <w:r>
        <w:rPr>
          <w:rFonts w:hint="eastAsia" w:ascii="宋体" w:hAnsi="宋体" w:cs="宋体"/>
          <w:b/>
          <w:szCs w:val="21"/>
        </w:rPr>
        <w:t>××</w:t>
      </w:r>
      <w:r>
        <w:rPr>
          <w:rFonts w:hint="eastAsia" w:ascii="宋体" w:hAnsi="宋体" w:cs="宋体"/>
          <w:szCs w:val="21"/>
        </w:rPr>
        <w:t>（正文）</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九、其它</w:t>
      </w:r>
    </w:p>
    <w:p>
      <w:pPr>
        <w:spacing w:line="536" w:lineRule="exact"/>
        <w:ind w:firstLine="420" w:firstLineChars="200"/>
        <w:rPr>
          <w:rFonts w:hint="eastAsia" w:ascii="宋体" w:hAnsi="宋体" w:cs="宋体"/>
          <w:szCs w:val="21"/>
        </w:rPr>
      </w:pPr>
      <w:r>
        <w:rPr>
          <w:rFonts w:hint="eastAsia" w:ascii="宋体" w:hAnsi="宋体" w:cs="宋体"/>
          <w:szCs w:val="21"/>
        </w:rPr>
        <w:t>本培养方案自2018级研究生开始执行。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PMingLiU">
    <w:panose1 w:val="02020300000000000000"/>
    <w:charset w:val="88"/>
    <w:family w:val="roman"/>
    <w:pitch w:val="default"/>
    <w:sig w:usb0="00000003" w:usb1="082E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3E65"/>
    <w:multiLevelType w:val="multilevel"/>
    <w:tmpl w:val="3B613E65"/>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A4B1B"/>
    <w:rsid w:val="75DA4B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2017-07-07T03:00:00Z</dcterms:created>
  <dc:creator>Administrator</dc:creator>
  <cp:lastModifiedBy>Administrator</cp:lastModifiedBy>
  <dcterms:modified xsi:type="dcterms:W3CDTF">2017-07-07T03:01:01Z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