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关于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开展</w:t>
      </w:r>
      <w:r>
        <w:rPr>
          <w:rFonts w:ascii="黑体" w:hAnsi="宋体" w:eastAsia="黑体" w:cs="黑体"/>
          <w:sz w:val="32"/>
          <w:szCs w:val="32"/>
        </w:rPr>
        <w:t>201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9</w:t>
      </w:r>
      <w:r>
        <w:rPr>
          <w:rFonts w:ascii="黑体" w:hAnsi="宋体" w:eastAsia="黑体" w:cs="黑体"/>
          <w:sz w:val="32"/>
          <w:szCs w:val="32"/>
        </w:rPr>
        <w:t>年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学科建设专项经费</w:t>
      </w:r>
      <w:r>
        <w:rPr>
          <w:rFonts w:ascii="黑体" w:hAnsi="宋体" w:eastAsia="黑体" w:cs="黑体"/>
          <w:sz w:val="32"/>
          <w:szCs w:val="32"/>
        </w:rPr>
        <w:t>学科平台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</w:pPr>
      <w:r>
        <w:rPr>
          <w:rFonts w:ascii="黑体" w:hAnsi="宋体" w:eastAsia="黑体" w:cs="黑体"/>
          <w:sz w:val="32"/>
          <w:szCs w:val="32"/>
        </w:rPr>
        <w:t>政府采购项目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申报</w:t>
      </w:r>
      <w:r>
        <w:rPr>
          <w:rFonts w:ascii="黑体" w:hAnsi="宋体" w:eastAsia="黑体" w:cs="黑体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1"/>
          <w:szCs w:val="2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为进一步推进一流学科建设，落实实施方案，搭建一流学科平台，促进标志性成果产出，助力学校追赶超越，提升学校学科建设层次与水平，现开展2019年学科平台政府采购项目申报工作。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请各学院按照本学院“十三五”学科建设发展规划、一流学科建设实施方案以及2019年学科建设立项目标任务，并结合学校2019年学科建设重点工作，充分论证后将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学科平台政府采购项目计划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表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提交至研究生院学科建设科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  <w:lang w:val="en-US" w:eastAsia="zh-CN"/>
        </w:rPr>
        <w:t>一、具体要求：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学科平台建设要服务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一流学科建设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总体工作要求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对标博硕士授权指标进行精准补缺式项目立项。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遵循“有硬有软、由硬到软”的学科建设规律，并充分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考虑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与已有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学科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平台的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关联性与系统性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学院要考虑平台建设设备布局，解决好存放空间。安排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好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平台建设各环节进度，确保平台建设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项目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顺利执行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论证答辩时间另行通知。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  <w:lang w:val="en-US" w:eastAsia="zh-CN"/>
        </w:rPr>
        <w:t>二、报送要求：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val="en-US" w:eastAsia="zh-CN"/>
        </w:rPr>
        <w:t>请各学院于2019年3月8日（周五）前，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</w:rPr>
        <w:t>将学科平台政府采购项目计划表（见附件1）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</w:rPr>
        <w:t>纸质版经院长签字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</w:rPr>
        <w:t>学院盖章后报送至临潼校区228楼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val="en-US" w:eastAsia="zh-CN"/>
        </w:rPr>
        <w:t>138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</w:rPr>
        <w:t>室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eastAsia="zh-CN"/>
        </w:rPr>
        <w:t>，电子版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</w:rPr>
        <w:t>发送至xkb318@163.com</w:t>
      </w:r>
      <w:r>
        <w:rPr>
          <w:rFonts w:hint="eastAsia" w:ascii="仿宋" w:hAnsi="仿宋" w:eastAsia="仿宋" w:cs="仿宋"/>
          <w:color w:val="auto"/>
          <w:sz w:val="28"/>
          <w:szCs w:val="36"/>
          <w:u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联系人：胡小梅  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联系电话：62779203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5773" w:firstLineChars="2062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eastAsia="zh-CN"/>
        </w:rPr>
        <w:t>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320" w:firstLineChars="19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sectPr>
          <w:pgSz w:w="11906" w:h="16838"/>
          <w:pgMar w:top="1157" w:right="1800" w:bottom="1157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left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shd w:val="clear" w:color="auto" w:fill="auto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center"/>
        <w:outlineLvl w:val="9"/>
        <w:rPr>
          <w:rFonts w:ascii="Times New Roman" w:hAnsi="Times New Roman" w:eastAsia="仿宋"/>
          <w:b/>
          <w:bCs/>
          <w:color w:val="auto"/>
          <w:sz w:val="28"/>
          <w:szCs w:val="36"/>
          <w:shd w:val="clear" w:color="auto" w:fill="auto"/>
        </w:rPr>
      </w:pPr>
      <w:r>
        <w:rPr>
          <w:rFonts w:ascii="Times New Roman" w:hAnsi="Times New Roman" w:eastAsia="仿宋"/>
          <w:b/>
          <w:bCs/>
          <w:color w:val="auto"/>
          <w:sz w:val="28"/>
          <w:szCs w:val="36"/>
          <w:shd w:val="clear" w:color="auto" w:fill="auto"/>
        </w:rPr>
        <w:t>201</w:t>
      </w:r>
      <w:r>
        <w:rPr>
          <w:rFonts w:hint="eastAsia" w:ascii="Times New Roman" w:hAnsi="Times New Roman" w:eastAsia="仿宋"/>
          <w:b/>
          <w:bCs/>
          <w:color w:val="auto"/>
          <w:sz w:val="28"/>
          <w:szCs w:val="36"/>
          <w:shd w:val="clear" w:color="auto" w:fill="auto"/>
          <w:lang w:val="en-US" w:eastAsia="zh-CN"/>
        </w:rPr>
        <w:t>9</w:t>
      </w:r>
      <w:r>
        <w:rPr>
          <w:rFonts w:ascii="Times New Roman" w:hAnsi="Times New Roman" w:eastAsia="仿宋"/>
          <w:b/>
          <w:bCs/>
          <w:color w:val="auto"/>
          <w:sz w:val="28"/>
          <w:szCs w:val="36"/>
          <w:shd w:val="clear" w:color="auto" w:fill="auto"/>
        </w:rPr>
        <w:t>年学科平台政府采购项目计划表</w:t>
      </w:r>
    </w:p>
    <w:tbl>
      <w:tblPr>
        <w:tblStyle w:val="5"/>
        <w:tblW w:w="14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704"/>
        <w:gridCol w:w="2040"/>
        <w:gridCol w:w="732"/>
        <w:gridCol w:w="871"/>
        <w:gridCol w:w="872"/>
        <w:gridCol w:w="1261"/>
        <w:gridCol w:w="1064"/>
        <w:gridCol w:w="1104"/>
        <w:gridCol w:w="1391"/>
        <w:gridCol w:w="25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设备名称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设备规格型号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单价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采购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数量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金额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计划启动招标日期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计划完成日期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计划验收日期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计划办理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bidi="ar"/>
              </w:rPr>
              <w:t>付款手续日期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宋体"/>
                <w:b/>
                <w:color w:val="auto"/>
                <w:kern w:val="0"/>
                <w:sz w:val="22"/>
                <w:szCs w:val="22"/>
                <w:shd w:val="clear" w:color="auto" w:fill="auto"/>
                <w:lang w:eastAsia="zh-CN" w:bidi="ar"/>
              </w:rPr>
            </w:pPr>
            <w:r>
              <w:rPr>
                <w:rFonts w:hint="eastAsia" w:ascii="Times New Roman" w:hAnsi="Times New Roman"/>
                <w:b/>
                <w:color w:val="auto"/>
                <w:kern w:val="0"/>
                <w:sz w:val="22"/>
                <w:szCs w:val="22"/>
                <w:shd w:val="clear" w:color="auto" w:fill="auto"/>
                <w:lang w:eastAsia="zh-CN" w:bidi="ar"/>
              </w:rPr>
              <w:t>项目负责人及联系方式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  <w:r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hint="eastAsia" w:ascii="Times New Roman" w:hAnsi="Times New Roman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hd w:val="clear" w:color="auto" w:fill="auto"/>
                <w:lang w:val="en-US" w:eastAsia="zh-CN"/>
              </w:rPr>
              <w:t>...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ascii="Times New Roman" w:hAnsi="Times New Roman"/>
                <w:color w:val="auto"/>
                <w:sz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left"/>
        <w:outlineLvl w:val="9"/>
        <w:rPr>
          <w:rFonts w:hint="eastAsia" w:ascii="Times New Roman" w:hAnsi="Times New Roman" w:eastAsia="仿宋"/>
          <w:b w:val="0"/>
          <w:bCs w:val="0"/>
          <w:color w:val="auto"/>
          <w:sz w:val="24"/>
          <w:szCs w:val="24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left"/>
        <w:outlineLvl w:val="9"/>
        <w:rPr>
          <w:rFonts w:hint="eastAsia" w:ascii="Times New Roman" w:hAnsi="Times New Roman" w:eastAsia="仿宋"/>
          <w:b w:val="0"/>
          <w:bCs w:val="0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 w:ascii="Times New Roman" w:hAnsi="Times New Roman" w:eastAsia="仿宋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注：项目负责人是管理、使用该平台设备项目的具体负责人。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outlineLvl w:val="9"/>
        <w:rPr>
          <w:rFonts w:hint="eastAsia" w:ascii="仿宋" w:hAnsi="仿宋" w:eastAsia="仿宋" w:cs="仿宋"/>
          <w:color w:val="auto"/>
          <w:sz w:val="28"/>
          <w:szCs w:val="36"/>
          <w:shd w:val="clear" w:color="auto" w:fill="auto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5AB98"/>
    <w:multiLevelType w:val="singleLevel"/>
    <w:tmpl w:val="C155AB98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60977984"/>
    <w:multiLevelType w:val="singleLevel"/>
    <w:tmpl w:val="6097798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2A3B"/>
    <w:rsid w:val="003E00A9"/>
    <w:rsid w:val="0041569C"/>
    <w:rsid w:val="006F65DE"/>
    <w:rsid w:val="00756C7F"/>
    <w:rsid w:val="007D303A"/>
    <w:rsid w:val="00C47138"/>
    <w:rsid w:val="00DA5338"/>
    <w:rsid w:val="00FA73FE"/>
    <w:rsid w:val="03040D99"/>
    <w:rsid w:val="030F278D"/>
    <w:rsid w:val="09376346"/>
    <w:rsid w:val="105C722C"/>
    <w:rsid w:val="1422287A"/>
    <w:rsid w:val="15185CAD"/>
    <w:rsid w:val="1D5C79D7"/>
    <w:rsid w:val="1FE52987"/>
    <w:rsid w:val="277576F7"/>
    <w:rsid w:val="2835315D"/>
    <w:rsid w:val="30975F09"/>
    <w:rsid w:val="331A7DD9"/>
    <w:rsid w:val="39FB111A"/>
    <w:rsid w:val="3B6B7FCF"/>
    <w:rsid w:val="3DD90C79"/>
    <w:rsid w:val="3F1D3DB0"/>
    <w:rsid w:val="3FA1416D"/>
    <w:rsid w:val="42C669FA"/>
    <w:rsid w:val="46EF6600"/>
    <w:rsid w:val="481E388E"/>
    <w:rsid w:val="4D7D5558"/>
    <w:rsid w:val="5AB5149E"/>
    <w:rsid w:val="5BAC2065"/>
    <w:rsid w:val="5F1E0C8D"/>
    <w:rsid w:val="62FD48B1"/>
    <w:rsid w:val="678676FC"/>
    <w:rsid w:val="6B924167"/>
    <w:rsid w:val="7CA22FD9"/>
    <w:rsid w:val="7DE24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ascii="Calibri" w:hAnsi="Calibri" w:eastAsia="仿宋"/>
      <w:b/>
      <w:kern w:val="44"/>
      <w:sz w:val="36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8">
    <w:name w:val="Hyperlink"/>
    <w:basedOn w:val="6"/>
    <w:uiPriority w:val="0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9">
    <w:name w:val="ico1655"/>
    <w:basedOn w:val="6"/>
    <w:uiPriority w:val="0"/>
  </w:style>
  <w:style w:type="character" w:customStyle="1" w:styleId="10">
    <w:name w:val="w32"/>
    <w:basedOn w:val="6"/>
    <w:uiPriority w:val="0"/>
  </w:style>
  <w:style w:type="character" w:customStyle="1" w:styleId="11">
    <w:name w:val="drapbtn"/>
    <w:basedOn w:val="6"/>
    <w:uiPriority w:val="0"/>
  </w:style>
  <w:style w:type="character" w:customStyle="1" w:styleId="12">
    <w:name w:val="ico1654"/>
    <w:basedOn w:val="6"/>
    <w:uiPriority w:val="0"/>
  </w:style>
  <w:style w:type="character" w:customStyle="1" w:styleId="13">
    <w:name w:val="common_over_page_btn2"/>
    <w:basedOn w:val="6"/>
    <w:uiPriority w:val="0"/>
  </w:style>
  <w:style w:type="character" w:customStyle="1" w:styleId="14">
    <w:name w:val="hilite6"/>
    <w:basedOn w:val="6"/>
    <w:uiPriority w:val="0"/>
    <w:rPr>
      <w:color w:val="FFFFFF"/>
      <w:shd w:val="clear" w:color="auto" w:fill="666677"/>
    </w:rPr>
  </w:style>
  <w:style w:type="character" w:customStyle="1" w:styleId="15">
    <w:name w:val="pagechatarealistclose_box"/>
    <w:basedOn w:val="6"/>
    <w:uiPriority w:val="0"/>
  </w:style>
  <w:style w:type="character" w:customStyle="1" w:styleId="16">
    <w:name w:val="pagechatarealistclose_box1"/>
    <w:basedOn w:val="6"/>
    <w:uiPriority w:val="0"/>
  </w:style>
  <w:style w:type="character" w:customStyle="1" w:styleId="17">
    <w:name w:val="active12"/>
    <w:basedOn w:val="6"/>
    <w:uiPriority w:val="0"/>
    <w:rPr>
      <w:color w:val="00FF00"/>
      <w:shd w:val="clear" w:color="auto" w:fill="111111"/>
    </w:rPr>
  </w:style>
  <w:style w:type="character" w:customStyle="1" w:styleId="1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cdropright"/>
    <w:basedOn w:val="6"/>
    <w:uiPriority w:val="0"/>
  </w:style>
  <w:style w:type="character" w:customStyle="1" w:styleId="20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common_over_page_btn3"/>
    <w:basedOn w:val="6"/>
    <w:uiPriority w:val="0"/>
    <w:rPr>
      <w:bdr w:val="single" w:color="D2D2D2" w:sz="6" w:space="0"/>
      <w:shd w:val="clear" w:color="auto" w:fill="EDEDED"/>
    </w:rPr>
  </w:style>
  <w:style w:type="character" w:customStyle="1" w:styleId="22">
    <w:name w:val="tmpztreemove_arrow"/>
    <w:basedOn w:val="6"/>
    <w:uiPriority w:val="0"/>
  </w:style>
  <w:style w:type="character" w:customStyle="1" w:styleId="23">
    <w:name w:val="button2"/>
    <w:basedOn w:val="6"/>
    <w:uiPriority w:val="0"/>
  </w:style>
  <w:style w:type="character" w:customStyle="1" w:styleId="24">
    <w:name w:val="cy"/>
    <w:basedOn w:val="6"/>
    <w:uiPriority w:val="0"/>
  </w:style>
  <w:style w:type="character" w:customStyle="1" w:styleId="25">
    <w:name w:val="cdroplef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493</Words>
  <Characters>537</Characters>
  <Lines>8</Lines>
  <Paragraphs>2</Paragraphs>
  <TotalTime>0</TotalTime>
  <ScaleCrop>false</ScaleCrop>
  <LinksUpToDate>false</LinksUpToDate>
  <CharactersWithSpaces>541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郝向举</dc:creator>
  <cp:lastModifiedBy>Administrator</cp:lastModifiedBy>
  <cp:lastPrinted>2018-03-07T01:05:49Z</cp:lastPrinted>
  <dcterms:modified xsi:type="dcterms:W3CDTF">2019-02-28T06:54:18Z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